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D1" w:rsidRPr="006F51D1" w:rsidRDefault="006F51D1" w:rsidP="006F51D1">
      <w:pPr>
        <w:spacing w:after="25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</w:pPr>
      <w:r w:rsidRPr="006F51D1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  <w:t>Календарь прививок ребенка РФ</w:t>
      </w:r>
    </w:p>
    <w:p w:rsidR="006F51D1" w:rsidRPr="006F51D1" w:rsidRDefault="006F51D1" w:rsidP="006F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6540" cy="1144905"/>
            <wp:effectExtent l="19050" t="0" r="0" b="0"/>
            <wp:docPr id="1" name="Рисунок 1" descr="http://www.diavax.ru/upload/resize_cache/iblock/c24/160_120_2/c2425467d31ab22d54b59722c172a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vax.ru/upload/resize_cache/iblock/c24/160_120_2/c2425467d31ab22d54b59722c172a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Прививки – один из первых случаев встречи малыша с врачом. Решаясь на вакцинацию своего ребенка, вы должны помнить, что она обязательно должна проводиться по специально разработанному и утвержденному специалистами графику. Ваш терапевт всегда напомнит вам об очередной прививке, но чтобы Вы могли и сами следить за временем, мы предлагаем воспользоваться Календарем прививок.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hyperlink r:id="rId5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вакцинация</w:t>
        </w:r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добровольной, поэтому Вы и только Вы должны решать, будут ли вашему ребенку делать прививки или нет.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прививкой врач должен осмотреть ребенка, измерить температуру тела, расспросить маму о поведении малыша, его самочувствии в предыдущие дни и в день вакцинации. Маме следует сообщить педиатру обо всех важных аспектах здоровья ребенка: наличии хронических и острых заболеваний, повышении температуры тела или необычном поведении в последнее время, о прорезывании зубов, контакте с больными инфекционными заболеваниями детьми, травмах. Детям, склонным к аллергическим реакциям, педиатр может порекомендовать провести подготовку к вакцинации противоаллергическими препаратами в течение трех дней перед вакцинацией, но для назначения любых лекарственных препаратов должны быть строгие показания.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12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часов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3-7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дней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1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месяц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3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месяца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4,5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месяца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6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месяцев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12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месяцев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18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месяцев</w:t>
      </w:r>
    </w:p>
    <w:p w:rsidR="006F51D1" w:rsidRPr="006F51D1" w:rsidRDefault="006F51D1" w:rsidP="006F51D1">
      <w:pPr>
        <w:spacing w:after="0" w:line="240" w:lineRule="auto"/>
        <w:rPr>
          <w:rFonts w:ascii="Times New Roman" w:eastAsia="Times New Roman" w:hAnsi="Times New Roman" w:cs="Times New Roman"/>
          <w:color w:val="014085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color w:val="014085"/>
          <w:sz w:val="14"/>
          <w:szCs w:val="14"/>
          <w:lang w:eastAsia="ru-RU"/>
        </w:rPr>
        <w:t>Вторая ревакцинация против полиомиелита</w:t>
      </w:r>
    </w:p>
    <w:p w:rsidR="006F51D1" w:rsidRPr="006F51D1" w:rsidRDefault="006F51D1" w:rsidP="006F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2645" cy="842645"/>
            <wp:effectExtent l="19050" t="0" r="0" b="0"/>
            <wp:docPr id="2" name="Рисунок 2" descr="http://www.diavax.ru/upload/calendar-rf/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vax.ru/upload/calendar-rf/20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D1" w:rsidRPr="006F51D1" w:rsidRDefault="006F51D1" w:rsidP="006F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111125"/>
            <wp:effectExtent l="19050" t="0" r="8255" b="0"/>
            <wp:docPr id="3" name="Рисунок 3" descr="http://www.diavax.ru/upload/calendar-rf/20m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avax.ru/upload/calendar-rf/20m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6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лет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7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лет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14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br/>
        <w:t>лет</w:t>
      </w:r>
    </w:p>
    <w:p w:rsidR="006F51D1" w:rsidRPr="006F51D1" w:rsidRDefault="006F51D1" w:rsidP="006F51D1">
      <w:pPr>
        <w:spacing w:after="0" w:line="125" w:lineRule="atLeast"/>
        <w:jc w:val="center"/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</w:pPr>
      <w:r w:rsidRPr="006F51D1">
        <w:rPr>
          <w:rFonts w:ascii="Times New Roman" w:eastAsia="Times New Roman" w:hAnsi="Times New Roman" w:cs="Times New Roman"/>
          <w:color w:val="94734D"/>
          <w:spacing w:val="-13"/>
          <w:sz w:val="11"/>
          <w:szCs w:val="11"/>
          <w:lang w:eastAsia="ru-RU"/>
        </w:rPr>
        <w:t>взрослые</w:t>
      </w:r>
    </w:p>
    <w:p w:rsidR="006F51D1" w:rsidRPr="006F51D1" w:rsidRDefault="006F51D1" w:rsidP="006F51D1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ревакцинация против полиомиелита осуществляется в 20 месяцев. Она необходима для продления «срока действия» иммунитета, а также увеличения его силы. Ее можно проводить с использованием оральной полиомиелитной вакцины. После ввода не следует </w:t>
      </w: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кормить и поить ребенка на протяжении часа. Если это произошло, придется закапать прививку повторно.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иммунопрофилактика осуществляется в соответствии с Федеральным законам «Об иммунопрофилактике инфекционных болезней», «Основами законодательства РФ об охране здоровья граждан» и Федеральным законом «О санитарно-эпидемиологическом благополучии населения».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</w:t>
      </w:r>
      <w:proofErr w:type="spellEnd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 включает в себя плановую иммунизацию и иммунизацию по эпидемическим показаниям.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прививки проводятся во всех регионах страны, возраст, кратность и количество прививок регламентированы Национальным календарём профилактических прививок, включающим в себя обязательную иммунизацию против 11 заболеваний: </w:t>
      </w:r>
      <w:hyperlink r:id="rId8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корь</w:t>
        </w:r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туберкулез, столбняк, </w:t>
      </w:r>
      <w:hyperlink r:id="rId9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вирусный гепатит</w:t>
        </w:r>
        <w:proofErr w:type="gramStart"/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 xml:space="preserve"> В</w:t>
        </w:r>
        <w:proofErr w:type="gramEnd"/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коклюш, дифтерия, </w:t>
      </w:r>
      <w:hyperlink r:id="rId10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полиомиелит</w:t>
        </w:r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паротит</w:t>
        </w:r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грипп</w:t>
        </w:r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краснуха</w:t>
        </w:r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6F51D1">
          <w:rPr>
            <w:rFonts w:ascii="Times New Roman" w:eastAsia="Times New Roman" w:hAnsi="Times New Roman" w:cs="Times New Roman"/>
            <w:color w:val="358AC0"/>
            <w:sz w:val="24"/>
            <w:szCs w:val="24"/>
            <w:u w:val="single"/>
            <w:lang w:eastAsia="ru-RU"/>
          </w:rPr>
          <w:t>ветряная оспа</w:t>
        </w:r>
      </w:hyperlink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2009 года).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Прививки по эпидемическим показаниям проводятся населению, проживающему на территориях, для которых характерно распространение определенных инфекций. Эти зоны утверждены Министерством здравоохранения России. На данных территориях проводится </w:t>
      </w:r>
      <w:proofErr w:type="gramStart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proofErr w:type="gramEnd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</w:t>
      </w:r>
      <w:proofErr w:type="spellEnd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сибирской язвы, лихорадки </w:t>
      </w:r>
      <w:proofErr w:type="spellStart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бруцеллеза, чумы, туляремии, клещевого весенне-летнего энцефалита, лептоспироза.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 по эпидемическим показаниям проводится </w:t>
      </w:r>
      <w:proofErr w:type="spellStart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</w:t>
      </w:r>
      <w:proofErr w:type="spellEnd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неблагоприятной эпидемической обстановки (например, пандемия гриппа) или при контакте восприимчивого лица с источником инфекции (например, укус собаки, травма, половой контакт с больным человеком или носителем). Экстренно иммунизация может проводиться против таких заболеваний, как грипп, вирусный гепатит</w:t>
      </w:r>
      <w:proofErr w:type="gramStart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столбняк, дифтерия, краснуха, коклюш, корь, паротит, коклюш, менингококковая инфекция, бешенство, </w:t>
      </w:r>
      <w:proofErr w:type="spellStart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гемофильная</w:t>
      </w:r>
      <w:proofErr w:type="spellEnd"/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вирусный гепатит А, клещевой энцефалит.</w:t>
      </w:r>
    </w:p>
    <w:p w:rsidR="006F51D1" w:rsidRPr="006F51D1" w:rsidRDefault="006F51D1" w:rsidP="006F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вакцинации по эпидемическим показаниям относится и постановка прививок против бешенства, сибирской язвы, бруцеллеза работникам животноводческой и сопутствующих отраслей.</w:t>
      </w:r>
    </w:p>
    <w:p w:rsidR="006F51D1" w:rsidRPr="006F51D1" w:rsidRDefault="006F51D1" w:rsidP="006F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F51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Национальный календарь профилактических прививок РФ 2014</w:t>
      </w:r>
    </w:p>
    <w:p w:rsidR="006F51D1" w:rsidRPr="006F51D1" w:rsidRDefault="006F51D1" w:rsidP="006F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1D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Минздрава России №125н от 21.03.2014 (приложение 1)</w:t>
      </w:r>
    </w:p>
    <w:tbl>
      <w:tblPr>
        <w:tblW w:w="826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63" w:type="dxa"/>
          <w:left w:w="25" w:type="dxa"/>
          <w:bottom w:w="63" w:type="dxa"/>
          <w:right w:w="25" w:type="dxa"/>
        </w:tblCellMar>
        <w:tblLook w:val="04A0"/>
      </w:tblPr>
      <w:tblGrid>
        <w:gridCol w:w="1122"/>
        <w:gridCol w:w="347"/>
        <w:gridCol w:w="234"/>
        <w:gridCol w:w="234"/>
        <w:gridCol w:w="367"/>
        <w:gridCol w:w="367"/>
        <w:gridCol w:w="438"/>
        <w:gridCol w:w="234"/>
        <w:gridCol w:w="259"/>
        <w:gridCol w:w="438"/>
        <w:gridCol w:w="438"/>
        <w:gridCol w:w="520"/>
        <w:gridCol w:w="252"/>
        <w:gridCol w:w="438"/>
        <w:gridCol w:w="380"/>
        <w:gridCol w:w="675"/>
        <w:gridCol w:w="406"/>
        <w:gridCol w:w="406"/>
        <w:gridCol w:w="406"/>
        <w:gridCol w:w="303"/>
      </w:tblGrid>
      <w:tr w:rsidR="006F51D1" w:rsidRPr="006F51D1" w:rsidTr="006F51D1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ДЕТИ ДО 18 ЛЕТ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ВЗРОСЛЫЕ</w:t>
            </w:r>
          </w:p>
        </w:tc>
      </w:tr>
      <w:tr w:rsidR="006F51D1" w:rsidRPr="006F51D1" w:rsidTr="006F51D1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МЕСЯЦЫ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ГОДЫ</w:t>
            </w:r>
          </w:p>
        </w:tc>
      </w:tr>
      <w:tr w:rsidR="006F51D1" w:rsidRPr="006F51D1" w:rsidTr="006F51D1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26-35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36-55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56-59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60+</w:t>
            </w: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3-7д.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RV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Гепатит</w:t>
            </w:r>
            <w:proofErr w:type="gram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V4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Пневмококковая</w:t>
            </w: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инфекция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RV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Коклюш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RV1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АДС-м</w:t>
            </w:r>
            <w:proofErr w:type="spellEnd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RV2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АДС-м</w:t>
            </w:r>
            <w:proofErr w:type="spellEnd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RV3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Каждые 10 лет с момента</w:t>
            </w:r>
            <w:r w:rsidRPr="006F51D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Последней ревакцинации (</w:t>
            </w:r>
            <w:proofErr w:type="spell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АДС-м</w:t>
            </w:r>
            <w:proofErr w:type="spellEnd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Столбняк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rPr>
          <w:trHeight w:val="62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ИПВ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ИПВ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ОПВ</w:t>
            </w:r>
          </w:p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ИПВ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ОПВ</w:t>
            </w:r>
          </w:p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ИПВ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ОПВ</w:t>
            </w:r>
          </w:p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ИПВ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ОПВ</w:t>
            </w:r>
          </w:p>
          <w:p w:rsidR="006F51D1" w:rsidRPr="006F51D1" w:rsidRDefault="006F51D1" w:rsidP="006F51D1">
            <w:pPr>
              <w:spacing w:before="188" w:after="0" w:line="3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ИПВ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Гемофильная</w:t>
            </w:r>
            <w:proofErr w:type="spellEnd"/>
            <w:r w:rsidRPr="006F51D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инфекция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RV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RV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Эпидемический</w:t>
            </w:r>
            <w:r w:rsidRPr="006F51D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паротит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Ежегодно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6F51D1" w:rsidRPr="006F51D1" w:rsidRDefault="006F51D1" w:rsidP="006F51D1">
      <w:pPr>
        <w:spacing w:after="125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Всем лицам данной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возрастной группы</w:t>
      </w:r>
    </w:p>
    <w:p w:rsidR="006F51D1" w:rsidRPr="006F51D1" w:rsidRDefault="006F51D1" w:rsidP="006F51D1">
      <w:pPr>
        <w:spacing w:after="125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лицам из групп риска,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по показаниям, призывники (грипп)</w:t>
      </w:r>
    </w:p>
    <w:p w:rsidR="006F51D1" w:rsidRPr="006F51D1" w:rsidRDefault="006F51D1" w:rsidP="006F51D1">
      <w:pPr>
        <w:spacing w:after="188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ранее не </w:t>
      </w:r>
      <w:proofErr w:type="gramStart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привитые</w:t>
      </w:r>
      <w:proofErr w:type="gramEnd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, не болевшие, не имеющие сведений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и однократно привитые (для кори и краснухи)</w:t>
      </w:r>
    </w:p>
    <w:p w:rsidR="006F51D1" w:rsidRPr="006F51D1" w:rsidRDefault="006F51D1" w:rsidP="006F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F51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Календарь профилактических прививок по эпидемическим показаниям РФ 2014 (в сокращении)</w:t>
      </w:r>
    </w:p>
    <w:p w:rsidR="006F51D1" w:rsidRPr="006F51D1" w:rsidRDefault="006F51D1" w:rsidP="006F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1D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Минздрава России №125н от 21.03.2014 (приложение 2)</w:t>
      </w:r>
    </w:p>
    <w:p w:rsidR="006F51D1" w:rsidRPr="006F51D1" w:rsidRDefault="006F51D1" w:rsidP="006F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F51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ДЕТИ И ВЗРОСЛЫЕ</w:t>
      </w:r>
    </w:p>
    <w:tbl>
      <w:tblPr>
        <w:tblW w:w="826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63" w:type="dxa"/>
          <w:left w:w="25" w:type="dxa"/>
          <w:bottom w:w="63" w:type="dxa"/>
          <w:right w:w="25" w:type="dxa"/>
        </w:tblCellMar>
        <w:tblLook w:val="04A0"/>
      </w:tblPr>
      <w:tblGrid>
        <w:gridCol w:w="2712"/>
        <w:gridCol w:w="1155"/>
        <w:gridCol w:w="182"/>
        <w:gridCol w:w="429"/>
        <w:gridCol w:w="225"/>
        <w:gridCol w:w="1610"/>
        <w:gridCol w:w="182"/>
        <w:gridCol w:w="182"/>
        <w:gridCol w:w="182"/>
        <w:gridCol w:w="182"/>
        <w:gridCol w:w="1223"/>
      </w:tblGrid>
      <w:tr w:rsidR="006F51D1" w:rsidRPr="006F51D1" w:rsidTr="006F51D1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МЕСЯЦЫ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ВЗРОСЛЫЕ</w:t>
            </w:r>
          </w:p>
        </w:tc>
      </w:tr>
      <w:tr w:rsidR="006F51D1" w:rsidRPr="006F51D1" w:rsidTr="006F51D1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6-12 недель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(32 недели)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Гепатит</w:t>
            </w:r>
            <w:proofErr w:type="gram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D8E5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дозы*</w:t>
            </w: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Менингококковая инфекция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Гепатит</w:t>
            </w:r>
            <w:proofErr w:type="gram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Эпидемический паротит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Пневмококковая инфекция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</w:t>
            </w: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Ветряная оспа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дозы*</w:t>
            </w: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Ротавирусная</w:t>
            </w:r>
            <w:proofErr w:type="spellEnd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V1*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V2, V3 через 4-10 </w:t>
            </w:r>
            <w:proofErr w:type="spell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.*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F51D1" w:rsidRPr="006F51D1" w:rsidTr="006F51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DFC7"/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Гемофильная</w:t>
            </w:r>
            <w:proofErr w:type="spellEnd"/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V1*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F51D1" w:rsidRPr="006F51D1" w:rsidRDefault="006F51D1" w:rsidP="006F51D1">
            <w:pPr>
              <w:spacing w:before="188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6F51D1" w:rsidRPr="006F51D1" w:rsidRDefault="006F51D1" w:rsidP="006F51D1">
      <w:pPr>
        <w:spacing w:after="125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Проживающие или выезжающие в неблагополучные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регионы; работники пищевой промышленности,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водоканала; контактные лица</w:t>
      </w:r>
    </w:p>
    <w:p w:rsidR="006F51D1" w:rsidRPr="006F51D1" w:rsidRDefault="006F51D1" w:rsidP="006F51D1">
      <w:pPr>
        <w:spacing w:after="125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Дети и взрослые в очагах, в </w:t>
      </w:r>
      <w:proofErr w:type="spellStart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эндемичных</w:t>
      </w:r>
      <w:proofErr w:type="spellEnd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регионах;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призывники</w:t>
      </w:r>
    </w:p>
    <w:p w:rsidR="006F51D1" w:rsidRPr="006F51D1" w:rsidRDefault="006F51D1" w:rsidP="006F51D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Не </w:t>
      </w:r>
      <w:proofErr w:type="gramStart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привитые</w:t>
      </w:r>
      <w:proofErr w:type="gramEnd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, не болевшие, не имеющие сведений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и однократно привитые (корь)</w:t>
      </w:r>
    </w:p>
    <w:p w:rsidR="006F51D1" w:rsidRPr="006F51D1" w:rsidRDefault="006F51D1" w:rsidP="006F51D1">
      <w:pPr>
        <w:spacing w:after="125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Дети 2-5 лет; взрослые из групп риска;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призывники</w:t>
      </w:r>
    </w:p>
    <w:p w:rsidR="006F51D1" w:rsidRPr="006F51D1" w:rsidRDefault="006F51D1" w:rsidP="006F51D1">
      <w:pPr>
        <w:spacing w:after="125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Дети/взрослые из групп риска; призывники</w:t>
      </w:r>
      <w:r w:rsidRPr="006F51D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(не болевшие и не привитые ранее)</w:t>
      </w:r>
    </w:p>
    <w:p w:rsidR="006F51D1" w:rsidRPr="006F51D1" w:rsidRDefault="006F51D1" w:rsidP="006F51D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Активная вакцинация с целью профилактики</w:t>
      </w:r>
    </w:p>
    <w:p w:rsidR="006F51D1" w:rsidRPr="006F51D1" w:rsidRDefault="006F51D1" w:rsidP="006F51D1">
      <w:pPr>
        <w:spacing w:after="188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Не </w:t>
      </w:r>
      <w:proofErr w:type="gramStart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привитые</w:t>
      </w:r>
      <w:proofErr w:type="gramEnd"/>
      <w:r w:rsidRPr="006F51D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 1-ом году</w:t>
      </w:r>
    </w:p>
    <w:p w:rsidR="006F51D1" w:rsidRPr="006F51D1" w:rsidRDefault="006F51D1" w:rsidP="006F51D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C3C3C"/>
          <w:sz w:val="14"/>
          <w:szCs w:val="14"/>
          <w:lang w:eastAsia="ru-RU"/>
        </w:rPr>
      </w:pPr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V1,2,3</w:t>
      </w:r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>- порядковый номер вакцинации</w:t>
      </w:r>
    </w:p>
    <w:p w:rsidR="006F51D1" w:rsidRPr="006F51D1" w:rsidRDefault="006F51D1" w:rsidP="006F51D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C3C3C"/>
          <w:sz w:val="14"/>
          <w:szCs w:val="14"/>
          <w:lang w:eastAsia="ru-RU"/>
        </w:rPr>
      </w:pPr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RV</w:t>
      </w:r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>- ревакцинация</w:t>
      </w:r>
    </w:p>
    <w:p w:rsidR="006F51D1" w:rsidRPr="006F51D1" w:rsidRDefault="006F51D1" w:rsidP="006F5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4"/>
          <w:szCs w:val="14"/>
          <w:lang w:eastAsia="ru-RU"/>
        </w:rPr>
      </w:pPr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КД</w:t>
      </w:r>
      <w:proofErr w:type="gramStart"/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С</w:t>
      </w:r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>-</w:t>
      </w:r>
      <w:proofErr w:type="gramEnd"/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 xml:space="preserve"> коклюш - дифтерия - столбняк</w:t>
      </w:r>
    </w:p>
    <w:p w:rsidR="006F51D1" w:rsidRPr="006F51D1" w:rsidRDefault="006F51D1" w:rsidP="006F51D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C3C3C"/>
          <w:sz w:val="14"/>
          <w:szCs w:val="14"/>
          <w:lang w:eastAsia="ru-RU"/>
        </w:rPr>
      </w:pPr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ИП</w:t>
      </w:r>
      <w:proofErr w:type="gramStart"/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В</w:t>
      </w:r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>-</w:t>
      </w:r>
      <w:proofErr w:type="gramEnd"/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 xml:space="preserve"> инактивированная полиомиелитная</w:t>
      </w:r>
      <w:r w:rsidRPr="006F51D1">
        <w:rPr>
          <w:rFonts w:ascii="Arial" w:eastAsia="Times New Roman" w:hAnsi="Arial" w:cs="Arial"/>
          <w:color w:val="3C3C3C"/>
          <w:sz w:val="14"/>
          <w:lang w:eastAsia="ru-RU"/>
        </w:rPr>
        <w:t> </w:t>
      </w:r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br/>
        <w:t>вакцина</w:t>
      </w:r>
    </w:p>
    <w:p w:rsidR="006F51D1" w:rsidRPr="006F51D1" w:rsidRDefault="006F51D1" w:rsidP="006F51D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C3C3C"/>
          <w:sz w:val="14"/>
          <w:szCs w:val="14"/>
          <w:lang w:eastAsia="ru-RU"/>
        </w:rPr>
      </w:pPr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ОП</w:t>
      </w:r>
      <w:proofErr w:type="gramStart"/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В</w:t>
      </w:r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>-</w:t>
      </w:r>
      <w:proofErr w:type="gramEnd"/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 xml:space="preserve"> оральная полиомиелитная вакцина</w:t>
      </w:r>
    </w:p>
    <w:p w:rsidR="006F51D1" w:rsidRPr="006F51D1" w:rsidRDefault="006F51D1" w:rsidP="006F51D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C3C3C"/>
          <w:sz w:val="14"/>
          <w:szCs w:val="14"/>
          <w:lang w:eastAsia="ru-RU"/>
        </w:rPr>
      </w:pPr>
      <w:proofErr w:type="spellStart"/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АДС-</w:t>
      </w:r>
      <w:proofErr w:type="gramStart"/>
      <w:r w:rsidRPr="006F51D1">
        <w:rPr>
          <w:rFonts w:ascii="Arial" w:eastAsia="Times New Roman" w:hAnsi="Arial" w:cs="Arial"/>
          <w:b/>
          <w:bCs/>
          <w:i/>
          <w:iCs/>
          <w:color w:val="2E8B57"/>
          <w:sz w:val="18"/>
          <w:szCs w:val="18"/>
          <w:lang w:eastAsia="ru-RU"/>
        </w:rPr>
        <w:t>м</w:t>
      </w:r>
      <w:proofErr w:type="spellEnd"/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>-</w:t>
      </w:r>
      <w:proofErr w:type="gramEnd"/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 xml:space="preserve"> анатоксин дифтерийно-столбнячный очищенный с уменьшенным </w:t>
      </w:r>
      <w:proofErr w:type="spellStart"/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>содержанем</w:t>
      </w:r>
      <w:proofErr w:type="spellEnd"/>
      <w:r w:rsidRPr="006F51D1">
        <w:rPr>
          <w:rFonts w:ascii="Arial" w:eastAsia="Times New Roman" w:hAnsi="Arial" w:cs="Arial"/>
          <w:color w:val="3C3C3C"/>
          <w:sz w:val="14"/>
          <w:szCs w:val="14"/>
          <w:lang w:eastAsia="ru-RU"/>
        </w:rPr>
        <w:t xml:space="preserve"> антигенов</w:t>
      </w:r>
    </w:p>
    <w:p w:rsidR="00334926" w:rsidRDefault="00334926"/>
    <w:sectPr w:rsidR="00334926" w:rsidSect="003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1D1"/>
    <w:rsid w:val="00334926"/>
    <w:rsid w:val="006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6"/>
  </w:style>
  <w:style w:type="paragraph" w:styleId="1">
    <w:name w:val="heading 1"/>
    <w:basedOn w:val="a"/>
    <w:link w:val="10"/>
    <w:uiPriority w:val="9"/>
    <w:qFormat/>
    <w:rsid w:val="006F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1D1"/>
  </w:style>
  <w:style w:type="character" w:styleId="a4">
    <w:name w:val="Hyperlink"/>
    <w:basedOn w:val="a0"/>
    <w:uiPriority w:val="99"/>
    <w:semiHidden/>
    <w:unhideWhenUsed/>
    <w:rsid w:val="006F51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943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02559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278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743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220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666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366334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122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6289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3743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011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4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831">
              <w:marLeft w:val="0"/>
              <w:marRight w:val="0"/>
              <w:marTop w:val="188"/>
              <w:marBottom w:val="188"/>
              <w:divBdr>
                <w:top w:val="single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4096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8979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5265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8064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782">
                      <w:marLeft w:val="0"/>
                      <w:marRight w:val="82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vax.ru/vaccinations/vaktsina-protiv-kori.php" TargetMode="External"/><Relationship Id="rId13" Type="http://schemas.openxmlformats.org/officeDocument/2006/relationships/hyperlink" Target="http://www.diavax.ru/vaccinations/vaktsinatsiya-protiv-krasnukhi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diavax.ru/vaccinations/gripp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diavax.ru/vaccinations/vaktsinatsiya-protiv-parotita.php" TargetMode="External"/><Relationship Id="rId5" Type="http://schemas.openxmlformats.org/officeDocument/2006/relationships/hyperlink" Target="http://www.diavax.ru/vaccinati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iavax.ru/vaccinations/poliomiel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iavax.ru/vaccinations/gepatit-b.php" TargetMode="External"/><Relationship Id="rId14" Type="http://schemas.openxmlformats.org/officeDocument/2006/relationships/hyperlink" Target="http://www.diavax.ru/vaccinations/vetryannaya-osp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2015-03-12T08:37:00Z</dcterms:created>
  <dcterms:modified xsi:type="dcterms:W3CDTF">2015-03-12T08:38:00Z</dcterms:modified>
</cp:coreProperties>
</file>